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D25F" w14:textId="5D9A2ECA" w:rsidR="00D22582" w:rsidRPr="00A36499" w:rsidRDefault="00594AF1" w:rsidP="00E92B88">
      <w:pPr>
        <w:pStyle w:val="Heading1"/>
        <w:spacing w:before="120" w:after="120"/>
      </w:pPr>
      <w:r w:rsidRPr="00152508">
        <w:rPr>
          <w:rFonts w:eastAsia="Calibri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496B366C" wp14:editId="2D0586BD">
            <wp:simplePos x="0" y="0"/>
            <wp:positionH relativeFrom="column">
              <wp:posOffset>4961614</wp:posOffset>
            </wp:positionH>
            <wp:positionV relativeFrom="paragraph">
              <wp:posOffset>-651178</wp:posOffset>
            </wp:positionV>
            <wp:extent cx="1409065" cy="609600"/>
            <wp:effectExtent l="0" t="0" r="635" b="0"/>
            <wp:wrapNone/>
            <wp:docPr id="70832053" name="Picture 70832053" descr="sparq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2053" name="Picture 70832053" descr="sparqs logo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582" w:rsidRPr="00A36499">
        <w:t>I</w:t>
      </w:r>
      <w:r w:rsidR="00D22582" w:rsidRPr="087D7DB8">
        <w:rPr>
          <w:sz w:val="36"/>
          <w:szCs w:val="36"/>
        </w:rPr>
        <w:t>ntroduction to Student Partnership</w:t>
      </w:r>
      <w:r w:rsidR="005F7281" w:rsidRPr="087D7DB8">
        <w:rPr>
          <w:sz w:val="36"/>
          <w:szCs w:val="36"/>
        </w:rPr>
        <w:t xml:space="preserve"> (#2)</w:t>
      </w:r>
    </w:p>
    <w:p w14:paraId="26848FCF" w14:textId="7F01F2AA" w:rsidR="00A36499" w:rsidRPr="001F496F" w:rsidRDefault="00A36499" w:rsidP="00594AF1">
      <w:pPr>
        <w:pStyle w:val="Heading2"/>
        <w:tabs>
          <w:tab w:val="right" w:pos="9026"/>
        </w:tabs>
        <w:spacing w:before="120" w:after="240"/>
        <w:rPr>
          <w:b w:val="0"/>
          <w:lang w:val="en-US"/>
        </w:rPr>
      </w:pPr>
      <w:r w:rsidRPr="087D7DB8">
        <w:rPr>
          <w:sz w:val="32"/>
          <w:lang w:val="en-US"/>
        </w:rPr>
        <w:t>References and Further Reading</w:t>
      </w:r>
      <w:r>
        <w:tab/>
      </w:r>
    </w:p>
    <w:p w14:paraId="3BD65FAA" w14:textId="392EE6E9" w:rsidR="00D22582" w:rsidRPr="00E92B88" w:rsidRDefault="00C6653B" w:rsidP="00534AC6">
      <w:pPr>
        <w:pStyle w:val="Heading3"/>
        <w:spacing w:after="120"/>
      </w:pPr>
      <w:r>
        <w:t xml:space="preserve">Cited </w:t>
      </w:r>
      <w:r w:rsidR="00D22582">
        <w:t>References</w:t>
      </w:r>
    </w:p>
    <w:p w14:paraId="188A0933" w14:textId="12000B41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Advance HE (2023). </w:t>
      </w:r>
      <w:hyperlink r:id="rId12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Framework for Student Engagement through Partnership | Advance HE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0A7DB681" w14:textId="3C0A8E2F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  <w:lang w:val="en-US"/>
        </w:rPr>
      </w:pPr>
      <w:r w:rsidRPr="087D7DB8">
        <w:rPr>
          <w:rFonts w:eastAsia="Verdana" w:cs="Verdana"/>
          <w:sz w:val="22"/>
          <w:szCs w:val="22"/>
        </w:rPr>
        <w:t xml:space="preserve">Advance HE (2019). </w:t>
      </w:r>
      <w:hyperlink r:id="rId13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Essential frameworks for enhancing student success: Student Engagement through Partnership</w:t>
        </w:r>
      </w:hyperlink>
      <w:r w:rsidRPr="087D7DB8">
        <w:rPr>
          <w:rFonts w:eastAsia="Verdana" w:cs="Verdana"/>
          <w:sz w:val="22"/>
          <w:szCs w:val="22"/>
          <w:lang w:val="en-US"/>
        </w:rPr>
        <w:t xml:space="preserve"> (accessed Feb 2026) </w:t>
      </w:r>
    </w:p>
    <w:p w14:paraId="6697F058" w14:textId="0430FC85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color w:val="467886"/>
          <w:sz w:val="22"/>
          <w:szCs w:val="22"/>
          <w:u w:val="single"/>
        </w:rPr>
      </w:pPr>
      <w:r w:rsidRPr="087D7DB8">
        <w:rPr>
          <w:rFonts w:eastAsia="Verdana" w:cs="Verdana"/>
          <w:sz w:val="22"/>
          <w:szCs w:val="22"/>
        </w:rPr>
        <w:t xml:space="preserve">Blackwell-Young, J. and Millard, L. (2023), Reflections on 15 years of working in student partnerships: Successes, challenges and future possibilities. Journal of Perspectives in Applied Academic Practice, 11(3), pp 65-79. </w:t>
      </w:r>
      <w:hyperlink r:id="rId14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https://doi.org/10.56433/jpaap.v11i3.597</w:t>
        </w:r>
      </w:hyperlink>
      <w:r w:rsidR="00CE567B"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6CAAB1FA" w14:textId="70ACD2FC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Bovill, C. (2019). A co-creation of learning and teaching typology: What kind of co-creation are you planning or doing? </w:t>
      </w:r>
      <w:r w:rsidRPr="087D7DB8">
        <w:rPr>
          <w:rFonts w:eastAsia="Verdana" w:cs="Verdana"/>
          <w:i/>
          <w:iCs/>
          <w:sz w:val="22"/>
          <w:szCs w:val="22"/>
        </w:rPr>
        <w:t>International Journal for Students as Partners</w:t>
      </w:r>
      <w:r w:rsidRPr="087D7DB8">
        <w:rPr>
          <w:rFonts w:eastAsia="Verdana" w:cs="Verdana"/>
          <w:sz w:val="22"/>
          <w:szCs w:val="22"/>
        </w:rPr>
        <w:t xml:space="preserve">, </w:t>
      </w:r>
      <w:r w:rsidRPr="087D7DB8">
        <w:rPr>
          <w:rFonts w:eastAsia="Verdana" w:cs="Verdana"/>
          <w:i/>
          <w:iCs/>
          <w:sz w:val="22"/>
          <w:szCs w:val="22"/>
        </w:rPr>
        <w:t>3</w:t>
      </w:r>
      <w:r w:rsidRPr="087D7DB8">
        <w:rPr>
          <w:rFonts w:eastAsia="Verdana" w:cs="Verdana"/>
          <w:sz w:val="22"/>
          <w:szCs w:val="22"/>
        </w:rPr>
        <w:t xml:space="preserve">(2), 91–98. </w:t>
      </w:r>
      <w:hyperlink r:id="rId15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https://doi.org/10.15173/ijsap.v3i2.3953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3D8C95CB" w14:textId="3EB74D2F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Bovill, C. and Bulley, C. J. (2011) A model of active student participation in curriculum design: exploring desirability and possibility. In Rust, C. (Ed.) Improving Student Learning (18) Global theories and local practices: institutional, disciplinary and cultural variations. pp176-188. Oxford: The Oxford Centre for Staff and Learning Development.  </w:t>
      </w:r>
      <w:hyperlink r:id="rId16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https://eprints.gla.ac.uk/57709/1/57709.pdf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0BAABEE3" w14:textId="66542E17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Bovill, C., Cook-Sather, A., Felten, P., Millard, L. and Moore-Cherry, N.(2016) Addressing potential challenges in co-creating learning and teaching: overcoming resistance, navigating institutional norms and ensuring inclusivity in student–staff partnerships. </w:t>
      </w:r>
      <w:r w:rsidRPr="087D7DB8">
        <w:rPr>
          <w:rFonts w:eastAsia="Verdana" w:cs="Verdana"/>
          <w:i/>
          <w:iCs/>
          <w:sz w:val="22"/>
          <w:szCs w:val="22"/>
        </w:rPr>
        <w:t>High Educ</w:t>
      </w:r>
      <w:r w:rsidRPr="087D7DB8">
        <w:rPr>
          <w:rFonts w:eastAsia="Verdana" w:cs="Verdana"/>
          <w:sz w:val="22"/>
          <w:szCs w:val="22"/>
        </w:rPr>
        <w:t xml:space="preserve"> </w:t>
      </w:r>
      <w:r w:rsidRPr="007B01BF">
        <w:rPr>
          <w:rFonts w:eastAsia="Verdana" w:cs="Verdana"/>
          <w:sz w:val="22"/>
          <w:szCs w:val="22"/>
        </w:rPr>
        <w:t>71</w:t>
      </w:r>
      <w:r w:rsidRPr="087D7DB8">
        <w:rPr>
          <w:rFonts w:eastAsia="Verdana" w:cs="Verdana"/>
          <w:sz w:val="22"/>
          <w:szCs w:val="22"/>
        </w:rPr>
        <w:t xml:space="preserve">, 195–208 (2016). </w:t>
      </w:r>
      <w:hyperlink r:id="rId17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https://doi.org/10.1007/s10734-015-9896-4</w:t>
        </w:r>
      </w:hyperlink>
      <w:r w:rsidRPr="087D7DB8">
        <w:rPr>
          <w:rFonts w:eastAsia="Verdana" w:cs="Verdana"/>
          <w:sz w:val="22"/>
          <w:szCs w:val="22"/>
        </w:rPr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7AE2095D" w14:textId="467915E7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Brown and Varwell, (2024), “Scotland’s Student Learning Experience model: building partnership in quality in a tertiary context”. </w:t>
      </w:r>
      <w:r w:rsidRPr="087D7DB8">
        <w:rPr>
          <w:rFonts w:eastAsia="Verdana" w:cs="Verdana"/>
          <w:i/>
          <w:iCs/>
          <w:sz w:val="22"/>
          <w:szCs w:val="22"/>
        </w:rPr>
        <w:t>Journal of Perspectives in Applied Academic Practice,</w:t>
      </w:r>
      <w:r w:rsidRPr="087D7DB8">
        <w:rPr>
          <w:rFonts w:eastAsia="Verdana" w:cs="Verdana"/>
          <w:sz w:val="22"/>
          <w:szCs w:val="22"/>
        </w:rPr>
        <w:t xml:space="preserve"> 12 (2), pp40-57. </w:t>
      </w:r>
      <w:hyperlink r:id="rId18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https://doi.org/10.56433/jpaap.v12i2.605</w:t>
        </w:r>
      </w:hyperlink>
      <w:r w:rsidRPr="087D7DB8">
        <w:rPr>
          <w:rFonts w:eastAsia="Verdana" w:cs="Verdana"/>
          <w:sz w:val="22"/>
          <w:szCs w:val="22"/>
        </w:rPr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6EE089D2" w14:textId="50B2DD89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Cook-Sather, A., Bovill, C. and Felten P. (2014), “Engaging students as partners in learning and teaching: A guide for faculty”, pp1. John Wiley and Sons, ISBN 1118836065, 9781118836064 </w:t>
      </w:r>
    </w:p>
    <w:p w14:paraId="567F0210" w14:textId="223DE30C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>Felten, P., and Ketevan K.(2026). “Students as Partners</w:t>
      </w:r>
      <w:r w:rsidRPr="087D7DB8">
        <w:rPr>
          <w:rFonts w:eastAsia="Verdana" w:cs="Verdana"/>
          <w:i/>
          <w:iCs/>
          <w:sz w:val="22"/>
          <w:szCs w:val="22"/>
        </w:rPr>
        <w:t>.</w:t>
      </w:r>
      <w:r w:rsidRPr="087D7DB8">
        <w:rPr>
          <w:rFonts w:eastAsia="Verdana" w:cs="Verdana"/>
          <w:sz w:val="22"/>
          <w:szCs w:val="22"/>
        </w:rPr>
        <w:t xml:space="preserve"> Engaged Learning Resources, Center for Engaged Learning at Elon University. </w:t>
      </w:r>
      <w:hyperlink r:id="rId19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https://www.centerforengagedlearning.org/resources/students-as-partners/</w:t>
        </w:r>
      </w:hyperlink>
      <w:r w:rsidRPr="087D7DB8">
        <w:rPr>
          <w:rFonts w:eastAsia="Verdana" w:cs="Verdana"/>
          <w:sz w:val="22"/>
          <w:szCs w:val="22"/>
        </w:rPr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2EADB7D6" w14:textId="092E0240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lastRenderedPageBreak/>
        <w:t xml:space="preserve">Healey, M. (2026) Students as partners and change agents: A selected bibliography. Available at: </w:t>
      </w:r>
      <w:hyperlink r:id="rId20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www.healeyheconsultants.co.uk/resources</w:t>
        </w:r>
      </w:hyperlink>
      <w:r w:rsidRPr="087D7DB8">
        <w:rPr>
          <w:rFonts w:eastAsia="Verdana" w:cs="Verdana"/>
          <w:sz w:val="22"/>
          <w:szCs w:val="22"/>
        </w:rPr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7F5766DF" w14:textId="709EE423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Healey, M., Flint, A., &amp; Harrington, K. (2014). Engagement through partnership: Students as partners in learning and teaching in higher education. The Higher Education Academy. Available from </w:t>
      </w:r>
      <w:hyperlink r:id="rId21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 xml:space="preserve">Engagement through partnership: students as partners in learning and teaching in higher education | Advance </w:t>
        </w:r>
      </w:hyperlink>
      <w:hyperlink r:id="rId22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HE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0F5F38F2" w14:textId="7ED81D56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Healey, R. L. (2023), “A guide to working with students as partners”. Centre for Academic Development, University of Chester. Available from </w:t>
      </w:r>
      <w:hyperlink r:id="rId23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PTSK0002046-Students-as-Partners-Guidance-Booklet-2025</w:t>
        </w:r>
      </w:hyperlink>
      <w:hyperlink r:id="rId24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_WEB.pdf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5451BB8B" w14:textId="4519088C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Mercer-Mapstone, L. et al (2017),  “A Systematic Literature Review of Students as Partners in Higher Education”. </w:t>
      </w:r>
      <w:r w:rsidRPr="087D7DB8">
        <w:rPr>
          <w:rFonts w:eastAsia="Verdana" w:cs="Verdana"/>
          <w:i/>
          <w:iCs/>
          <w:sz w:val="22"/>
          <w:szCs w:val="22"/>
        </w:rPr>
        <w:t>International Journal for Students as Partners</w:t>
      </w:r>
      <w:r w:rsidRPr="087D7DB8">
        <w:rPr>
          <w:rFonts w:eastAsia="Verdana" w:cs="Verdana"/>
          <w:sz w:val="22"/>
          <w:szCs w:val="22"/>
        </w:rPr>
        <w:t xml:space="preserve">, 1 (1), pp15-37. </w:t>
      </w:r>
      <w:hyperlink r:id="rId25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https://doi.org/10.15173/ijsap.v1i1.3119</w:t>
        </w:r>
      </w:hyperlink>
      <w:r w:rsidRPr="087D7DB8">
        <w:rPr>
          <w:rFonts w:eastAsia="Verdana" w:cs="Verdana"/>
          <w:sz w:val="22"/>
          <w:szCs w:val="22"/>
        </w:rPr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5F440961" w14:textId="3C042824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Matthews, K. (2016). Students as partners as the future of student engagement. </w:t>
      </w:r>
      <w:r w:rsidRPr="087D7DB8">
        <w:rPr>
          <w:rFonts w:eastAsia="Verdana" w:cs="Verdana"/>
          <w:i/>
          <w:iCs/>
          <w:sz w:val="22"/>
          <w:szCs w:val="22"/>
        </w:rPr>
        <w:t>Student Engagement in Higher Education Journal</w:t>
      </w:r>
      <w:r w:rsidRPr="087D7DB8">
        <w:rPr>
          <w:rFonts w:eastAsia="Verdana" w:cs="Verdana"/>
          <w:sz w:val="22"/>
          <w:szCs w:val="22"/>
        </w:rPr>
        <w:t xml:space="preserve">, </w:t>
      </w:r>
      <w:r w:rsidRPr="087D7DB8">
        <w:rPr>
          <w:rFonts w:eastAsia="Verdana" w:cs="Verdana"/>
          <w:i/>
          <w:iCs/>
          <w:sz w:val="22"/>
          <w:szCs w:val="22"/>
        </w:rPr>
        <w:t>1</w:t>
      </w:r>
      <w:r w:rsidRPr="087D7DB8">
        <w:rPr>
          <w:rFonts w:eastAsia="Verdana" w:cs="Verdana"/>
          <w:sz w:val="22"/>
          <w:szCs w:val="22"/>
        </w:rPr>
        <w:t xml:space="preserve">(1). Available from </w:t>
      </w:r>
      <w:hyperlink r:id="rId26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https://sehej.raise-network.com/raise/article/view/380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5BBB7393" w14:textId="2FC3AD57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color w:val="467886"/>
          <w:sz w:val="22"/>
          <w:szCs w:val="22"/>
          <w:u w:val="single"/>
        </w:rPr>
      </w:pPr>
      <w:r w:rsidRPr="087D7DB8">
        <w:rPr>
          <w:rFonts w:eastAsia="Verdana" w:cs="Verdana"/>
          <w:sz w:val="22"/>
          <w:szCs w:val="22"/>
        </w:rPr>
        <w:t xml:space="preserve">Peart, D., Rumbold, P. &amp; Fukar, E. (2023). Student engagement through partnership: A literature review. Advance HE. </w:t>
      </w:r>
      <w:hyperlink r:id="rId27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https://advance-he.ac.uk/knowledge-hub/student-engagement-through-partnership-literature-review</w:t>
        </w:r>
      </w:hyperlink>
      <w:r w:rsidR="00CE567B"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12C825DC" w14:textId="55537A96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SFC (2026). </w:t>
      </w:r>
      <w:hyperlink r:id="rId28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Scotland’s Tertiary Quality Enhancement Framework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5D7D2D29" w14:textId="171B0244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sparqs (2012). </w:t>
      </w:r>
      <w:hyperlink r:id="rId29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A Student Engagement Framework for Scotland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38D89DD4" w14:textId="479605B4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sparqs (2023) </w:t>
      </w:r>
      <w:hyperlink r:id="rId30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Student Learning Experience (SLE) model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505F3FB2" w14:textId="53B491C4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sparqs (2024). </w:t>
      </w:r>
      <w:hyperlink r:id="rId31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Scotland’s Ambition for Student Partnership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5B63E05F" w14:textId="34860517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Student Voice Australia (2026). </w:t>
      </w:r>
      <w:hyperlink r:id="rId32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Reports and Publications</w:t>
        </w:r>
      </w:hyperlink>
      <w:r w:rsidRPr="087D7DB8">
        <w:rPr>
          <w:rFonts w:eastAsia="Verdana" w:cs="Verdana"/>
          <w:sz w:val="22"/>
          <w:szCs w:val="22"/>
        </w:rPr>
        <w:t xml:space="preserve"> (accessed Feb 2026)</w:t>
      </w:r>
    </w:p>
    <w:p w14:paraId="6D3BDF6D" w14:textId="45A8DB35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  <w:rPr>
          <w:rFonts w:eastAsia="Verdana" w:cs="Verdana"/>
          <w:sz w:val="22"/>
          <w:szCs w:val="22"/>
        </w:rPr>
      </w:pPr>
      <w:r w:rsidRPr="087D7DB8">
        <w:rPr>
          <w:rFonts w:eastAsia="Verdana" w:cs="Verdana"/>
          <w:sz w:val="22"/>
          <w:szCs w:val="22"/>
        </w:rPr>
        <w:t xml:space="preserve">Varnham, S. (2017), Creating a National Framework for Student Partnership in University Decision-Making and Governance. </w:t>
      </w:r>
      <w:hyperlink r:id="rId33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STEPUP Principles for Quality Enhancement</w:t>
        </w:r>
      </w:hyperlink>
      <w:r w:rsidRPr="087D7DB8">
        <w:rPr>
          <w:rFonts w:eastAsia="Verdana" w:cs="Verdana"/>
          <w:sz w:val="22"/>
          <w:szCs w:val="22"/>
        </w:rPr>
        <w:t xml:space="preserve"> (short form), pp2. (accessed Feb 2026)</w:t>
      </w:r>
    </w:p>
    <w:p w14:paraId="5F96C692" w14:textId="25B6C8B1" w:rsidR="00E92B88" w:rsidRDefault="0D0FC70E" w:rsidP="087D7DB8">
      <w:pPr>
        <w:pStyle w:val="ListParagraph"/>
        <w:numPr>
          <w:ilvl w:val="0"/>
          <w:numId w:val="2"/>
        </w:numPr>
        <w:spacing w:before="0" w:after="120" w:line="276" w:lineRule="auto"/>
        <w:ind w:left="360"/>
        <w:contextualSpacing w:val="0"/>
      </w:pPr>
      <w:r w:rsidRPr="087D7DB8">
        <w:rPr>
          <w:rFonts w:eastAsia="Verdana" w:cs="Verdana"/>
          <w:sz w:val="22"/>
          <w:szCs w:val="22"/>
        </w:rPr>
        <w:t xml:space="preserve">Varwell, S. (2021), Models for exploring partnership: Introducing sparqs’ student partnership staircase as a reflective tool for staff and students’. </w:t>
      </w:r>
      <w:r w:rsidRPr="087D7DB8">
        <w:rPr>
          <w:rFonts w:eastAsia="Verdana" w:cs="Verdana"/>
          <w:i/>
          <w:iCs/>
          <w:sz w:val="22"/>
          <w:szCs w:val="22"/>
        </w:rPr>
        <w:t>International Journal for Students as Partners</w:t>
      </w:r>
      <w:r w:rsidRPr="087D7DB8">
        <w:rPr>
          <w:rFonts w:eastAsia="Verdana" w:cs="Verdana"/>
          <w:sz w:val="22"/>
          <w:szCs w:val="22"/>
        </w:rPr>
        <w:t xml:space="preserve">, 5 (1), </w:t>
      </w:r>
      <w:hyperlink r:id="rId34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https://doi.org/10.15173/ijsap.v5i1.4452</w:t>
        </w:r>
      </w:hyperlink>
      <w:r w:rsidRPr="087D7DB8">
        <w:rPr>
          <w:rFonts w:eastAsia="Verdana" w:cs="Verdana"/>
          <w:sz w:val="22"/>
          <w:szCs w:val="22"/>
        </w:rPr>
        <w:t>. (accessed Feb 2026).</w:t>
      </w:r>
    </w:p>
    <w:p w14:paraId="1C14578A" w14:textId="3E5EEDA6" w:rsidR="00E92B88" w:rsidRDefault="00E92B88" w:rsidP="087D7DB8">
      <w:pPr>
        <w:sectPr w:rsidR="00E92B88" w:rsidSect="002D47E9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41618D4" w14:textId="6F02BFDC" w:rsidR="00D22582" w:rsidRPr="00E92B88" w:rsidRDefault="00D22582" w:rsidP="087D7DB8">
      <w:pPr>
        <w:pStyle w:val="Heading3"/>
      </w:pPr>
      <w:r w:rsidRPr="087D7DB8">
        <w:lastRenderedPageBreak/>
        <w:t>Further Reading</w:t>
      </w:r>
    </w:p>
    <w:p w14:paraId="2BD9EE1F" w14:textId="62DF1ADA" w:rsidR="00D22582" w:rsidRPr="00D22582" w:rsidRDefault="00D22582" w:rsidP="087D7DB8">
      <w:pPr>
        <w:pStyle w:val="Heading4"/>
        <w:rPr>
          <w:sz w:val="22"/>
          <w:szCs w:val="22"/>
        </w:rPr>
      </w:pPr>
      <w:r w:rsidRPr="087D7DB8">
        <w:rPr>
          <w:sz w:val="22"/>
          <w:szCs w:val="22"/>
        </w:rPr>
        <w:t>Journals</w:t>
      </w:r>
    </w:p>
    <w:p w14:paraId="6DA4BD4A" w14:textId="2927F4AB" w:rsidR="00D22582" w:rsidRPr="00D22582" w:rsidRDefault="00D22582" w:rsidP="087D7DB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87D7DB8">
        <w:rPr>
          <w:sz w:val="22"/>
          <w:szCs w:val="22"/>
        </w:rPr>
        <w:t>International Journal for Students as Partners</w:t>
      </w:r>
    </w:p>
    <w:p w14:paraId="0E333CFA" w14:textId="133A011B" w:rsidR="00D22582" w:rsidRPr="00D22582" w:rsidRDefault="00D22582" w:rsidP="087D7DB8">
      <w:pPr>
        <w:pStyle w:val="Heading4"/>
        <w:rPr>
          <w:sz w:val="22"/>
          <w:szCs w:val="22"/>
        </w:rPr>
      </w:pPr>
      <w:r w:rsidRPr="087D7DB8">
        <w:rPr>
          <w:sz w:val="22"/>
          <w:szCs w:val="22"/>
        </w:rPr>
        <w:t xml:space="preserve">Literature Reviews </w:t>
      </w:r>
    </w:p>
    <w:p w14:paraId="2C26B1D0" w14:textId="37F439D1" w:rsidR="19B97DD9" w:rsidRDefault="19B97DD9" w:rsidP="087D7DB8">
      <w:pPr>
        <w:pStyle w:val="ListParagraph"/>
        <w:numPr>
          <w:ilvl w:val="0"/>
          <w:numId w:val="12"/>
        </w:numPr>
        <w:spacing w:before="0" w:after="120"/>
        <w:ind w:left="714" w:hanging="357"/>
        <w:contextualSpacing w:val="0"/>
        <w:rPr>
          <w:rFonts w:eastAsia="Verdana" w:cs="Verdana"/>
          <w:sz w:val="22"/>
          <w:szCs w:val="22"/>
        </w:rPr>
      </w:pPr>
      <w:hyperlink r:id="rId41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A Systematic Literature Review of Students as Partners in Higher Education</w:t>
        </w:r>
      </w:hyperlink>
      <w:r w:rsidRPr="087D7DB8">
        <w:rPr>
          <w:rFonts w:eastAsia="Verdana" w:cs="Verdana"/>
          <w:sz w:val="22"/>
          <w:szCs w:val="22"/>
        </w:rPr>
        <w:t xml:space="preserve"> Mercer-Mapstone, L., Dvorakova, S. L., Matthews, K. E., Abbot, S., Cheng, B., Felten, P., Knorr, K., Marquis, E., Shammas, R., Swaim, K. (2017). A Systematic Literature Review of Students as Partners in Higher Education. </w:t>
      </w:r>
      <w:r w:rsidRPr="087D7DB8">
        <w:rPr>
          <w:rFonts w:eastAsia="Verdana" w:cs="Verdana"/>
          <w:i/>
          <w:iCs/>
          <w:sz w:val="22"/>
          <w:szCs w:val="22"/>
        </w:rPr>
        <w:t>International Journal for Students as Partners</w:t>
      </w:r>
      <w:r w:rsidRPr="087D7DB8">
        <w:rPr>
          <w:rFonts w:eastAsia="Verdana" w:cs="Verdana"/>
          <w:sz w:val="22"/>
          <w:szCs w:val="22"/>
        </w:rPr>
        <w:t xml:space="preserve">, </w:t>
      </w:r>
      <w:r w:rsidRPr="087D7DB8">
        <w:rPr>
          <w:rFonts w:eastAsia="Verdana" w:cs="Verdana"/>
          <w:i/>
          <w:iCs/>
          <w:sz w:val="22"/>
          <w:szCs w:val="22"/>
        </w:rPr>
        <w:t>1</w:t>
      </w:r>
      <w:r w:rsidRPr="087D7DB8">
        <w:rPr>
          <w:rFonts w:eastAsia="Verdana" w:cs="Verdana"/>
          <w:sz w:val="22"/>
          <w:szCs w:val="22"/>
        </w:rPr>
        <w:t xml:space="preserve">(1), 15–37. </w:t>
      </w:r>
      <w:r w:rsidRPr="00A54A6E">
        <w:rPr>
          <w:rFonts w:eastAsia="Verdana" w:cs="Verdana"/>
          <w:sz w:val="22"/>
          <w:szCs w:val="22"/>
        </w:rPr>
        <w:t>https://doi.org/10.15173/ijsap.v1i1.3119</w:t>
      </w:r>
      <w:r w:rsidR="54C14264" w:rsidRPr="00A54A6E">
        <w:rPr>
          <w:rFonts w:eastAsia="Verdana" w:cs="Verdana"/>
          <w:sz w:val="22"/>
          <w:szCs w:val="22"/>
        </w:rPr>
        <w:t>.</w:t>
      </w:r>
      <w:r w:rsidR="00CE567B">
        <w:t xml:space="preserve"> </w:t>
      </w:r>
      <w:r w:rsidR="00CE567B" w:rsidRPr="087D7DB8">
        <w:rPr>
          <w:rFonts w:eastAsia="Verdana" w:cs="Verdana"/>
          <w:sz w:val="22"/>
          <w:szCs w:val="22"/>
        </w:rPr>
        <w:t>(accessed Feb 2026)</w:t>
      </w:r>
    </w:p>
    <w:p w14:paraId="5C95DA3E" w14:textId="2DC1D9C4" w:rsidR="19B97DD9" w:rsidRDefault="19B97DD9" w:rsidP="087D7DB8">
      <w:pPr>
        <w:pStyle w:val="ListParagraph"/>
        <w:numPr>
          <w:ilvl w:val="0"/>
          <w:numId w:val="12"/>
        </w:numPr>
        <w:spacing w:before="0" w:after="120" w:line="276" w:lineRule="auto"/>
        <w:contextualSpacing w:val="0"/>
        <w:rPr>
          <w:rFonts w:eastAsia="Verdana" w:cs="Verdana"/>
          <w:sz w:val="22"/>
          <w:szCs w:val="22"/>
        </w:rPr>
      </w:pPr>
      <w:hyperlink r:id="rId42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 xml:space="preserve">Student </w:t>
        </w:r>
      </w:hyperlink>
      <w:hyperlink r:id="rId43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engagement through partnership: a literature review</w:t>
        </w:r>
        <w:r w:rsidR="2BFEA78E" w:rsidRPr="087D7DB8">
          <w:rPr>
            <w:rStyle w:val="Hyperlink"/>
            <w:rFonts w:eastAsia="Verdana" w:cs="Verdana"/>
            <w:color w:val="467886"/>
            <w:sz w:val="22"/>
            <w:szCs w:val="22"/>
          </w:rPr>
          <w:t>.</w:t>
        </w:r>
      </w:hyperlink>
      <w:r w:rsidR="2BFEA78E" w:rsidRPr="087D7DB8">
        <w:rPr>
          <w:rFonts w:eastAsia="Verdana" w:cs="Verdana"/>
          <w:sz w:val="22"/>
          <w:szCs w:val="22"/>
        </w:rPr>
        <w:t xml:space="preserve"> </w:t>
      </w:r>
      <w:r w:rsidRPr="087D7DB8">
        <w:rPr>
          <w:rFonts w:eastAsia="Verdana" w:cs="Verdana"/>
          <w:sz w:val="22"/>
          <w:szCs w:val="22"/>
        </w:rPr>
        <w:t>Peart, D., Rumbold, P and Fukar, E.(2023). Advance HE. (accessed Feb 2026)</w:t>
      </w:r>
      <w:r w:rsidR="386C4073" w:rsidRPr="087D7DB8">
        <w:rPr>
          <w:rFonts w:eastAsia="Verdana" w:cs="Verdana"/>
          <w:sz w:val="22"/>
          <w:szCs w:val="22"/>
        </w:rPr>
        <w:t>.</w:t>
      </w:r>
    </w:p>
    <w:p w14:paraId="193F7DAD" w14:textId="4ECD61CB" w:rsidR="19B97DD9" w:rsidRDefault="19B97DD9" w:rsidP="087D7DB8">
      <w:pPr>
        <w:pStyle w:val="ListParagraph"/>
        <w:numPr>
          <w:ilvl w:val="0"/>
          <w:numId w:val="12"/>
        </w:numPr>
        <w:spacing w:before="0" w:after="0" w:line="276" w:lineRule="auto"/>
        <w:rPr>
          <w:rFonts w:eastAsia="Verdana" w:cs="Verdana"/>
          <w:sz w:val="22"/>
          <w:szCs w:val="22"/>
        </w:rPr>
      </w:pPr>
      <w:hyperlink r:id="rId44">
        <w:r w:rsidRPr="087D7DB8">
          <w:rPr>
            <w:rStyle w:val="Hyperlink"/>
            <w:rFonts w:eastAsia="Verdana" w:cs="Verdana"/>
            <w:color w:val="467886"/>
            <w:sz w:val="22"/>
            <w:szCs w:val="22"/>
          </w:rPr>
          <w:t>Student Partnership: A Review of and Guide to the Literature</w:t>
        </w:r>
      </w:hyperlink>
      <w:r w:rsidRPr="087D7DB8">
        <w:rPr>
          <w:rFonts w:eastAsia="Verdana" w:cs="Verdana"/>
          <w:sz w:val="22"/>
          <w:szCs w:val="22"/>
        </w:rPr>
        <w:t>.</w:t>
      </w:r>
      <w:r w:rsidR="4EF12476" w:rsidRPr="087D7DB8">
        <w:rPr>
          <w:rFonts w:eastAsia="Verdana" w:cs="Verdana"/>
          <w:sz w:val="22"/>
          <w:szCs w:val="22"/>
        </w:rPr>
        <w:t xml:space="preserve"> </w:t>
      </w:r>
      <w:r w:rsidRPr="087D7DB8">
        <w:rPr>
          <w:rFonts w:eastAsia="Verdana" w:cs="Verdana"/>
          <w:sz w:val="22"/>
          <w:szCs w:val="22"/>
        </w:rPr>
        <w:t>Stevens, D, Eden Centre for Education Enhancement (accessed Feb 2026)</w:t>
      </w:r>
      <w:r w:rsidR="106BC330" w:rsidRPr="087D7DB8">
        <w:rPr>
          <w:rFonts w:eastAsia="Verdana" w:cs="Verdana"/>
          <w:sz w:val="22"/>
          <w:szCs w:val="22"/>
        </w:rPr>
        <w:t>.</w:t>
      </w:r>
    </w:p>
    <w:p w14:paraId="6A774839" w14:textId="5082FF34" w:rsidR="00D22582" w:rsidRPr="00D22582" w:rsidRDefault="00BD4963" w:rsidP="087D7DB8">
      <w:pPr>
        <w:pStyle w:val="Heading4"/>
        <w:spacing w:before="240" w:after="120"/>
        <w:rPr>
          <w:sz w:val="24"/>
        </w:rPr>
      </w:pPr>
      <w:r w:rsidRPr="087D7DB8">
        <w:rPr>
          <w:sz w:val="22"/>
          <w:szCs w:val="22"/>
        </w:rPr>
        <w:t>Other</w:t>
      </w:r>
      <w:r w:rsidR="00D22582" w:rsidRPr="087D7DB8">
        <w:rPr>
          <w:sz w:val="22"/>
          <w:szCs w:val="22"/>
        </w:rPr>
        <w:t xml:space="preserve"> Guidance</w:t>
      </w:r>
    </w:p>
    <w:p w14:paraId="265FB05F" w14:textId="1E64DADE" w:rsidR="001F496F" w:rsidRPr="001F496F" w:rsidRDefault="11E58171" w:rsidP="087D7DB8">
      <w:pPr>
        <w:pStyle w:val="ListParagraph"/>
        <w:numPr>
          <w:ilvl w:val="0"/>
          <w:numId w:val="1"/>
        </w:numPr>
        <w:spacing w:before="0" w:after="0" w:line="276" w:lineRule="auto"/>
        <w:ind w:left="714" w:hanging="357"/>
        <w:contextualSpacing w:val="0"/>
        <w:rPr>
          <w:rFonts w:eastAsia="Verdana" w:cs="Verdana"/>
          <w:noProof/>
          <w:sz w:val="22"/>
          <w:szCs w:val="22"/>
        </w:rPr>
      </w:pPr>
      <w:hyperlink r:id="rId45">
        <w:r w:rsidRPr="087D7DB8">
          <w:rPr>
            <w:rStyle w:val="Hyperlink"/>
            <w:rFonts w:eastAsia="Verdana" w:cs="Verdana"/>
            <w:noProof/>
            <w:color w:val="467886"/>
            <w:sz w:val="22"/>
            <w:szCs w:val="22"/>
          </w:rPr>
          <w:t xml:space="preserve">Framework for Student Engagement through Partnership | Advance </w:t>
        </w:r>
      </w:hyperlink>
      <w:hyperlink r:id="rId46">
        <w:r w:rsidRPr="087D7DB8">
          <w:rPr>
            <w:rStyle w:val="Hyperlink"/>
            <w:rFonts w:eastAsia="Verdana" w:cs="Verdana"/>
            <w:noProof/>
            <w:color w:val="467886"/>
            <w:sz w:val="22"/>
            <w:szCs w:val="22"/>
          </w:rPr>
          <w:t>HE</w:t>
        </w:r>
      </w:hyperlink>
      <w:r w:rsidRPr="087D7DB8">
        <w:rPr>
          <w:rFonts w:eastAsia="Verdana" w:cs="Verdana"/>
          <w:noProof/>
          <w:sz w:val="22"/>
          <w:szCs w:val="22"/>
        </w:rPr>
        <w:t xml:space="preserve"> . </w:t>
      </w:r>
    </w:p>
    <w:p w14:paraId="41666504" w14:textId="0C5AB34B" w:rsidR="001F496F" w:rsidRPr="001F496F" w:rsidRDefault="11E58171" w:rsidP="087D7DB8">
      <w:pPr>
        <w:spacing w:before="0" w:after="120" w:line="276" w:lineRule="auto"/>
        <w:ind w:left="714"/>
        <w:rPr>
          <w:rFonts w:eastAsia="Verdana" w:cs="Verdana"/>
          <w:noProof/>
          <w:sz w:val="22"/>
          <w:szCs w:val="22"/>
        </w:rPr>
      </w:pPr>
      <w:r w:rsidRPr="087D7DB8">
        <w:rPr>
          <w:rFonts w:eastAsia="Verdana" w:cs="Verdana"/>
          <w:noProof/>
          <w:sz w:val="22"/>
          <w:szCs w:val="22"/>
        </w:rPr>
        <w:t>Advance HE (2023). Framework for Student Engagement through Partnership. (accessed Feb 2026)</w:t>
      </w:r>
      <w:r w:rsidR="3BC9DF11" w:rsidRPr="087D7DB8">
        <w:rPr>
          <w:rFonts w:eastAsia="Verdana" w:cs="Verdana"/>
          <w:noProof/>
          <w:sz w:val="22"/>
          <w:szCs w:val="22"/>
        </w:rPr>
        <w:t>.</w:t>
      </w:r>
    </w:p>
    <w:p w14:paraId="0A3D47C9" w14:textId="689BA237" w:rsidR="001F496F" w:rsidRPr="001F496F" w:rsidRDefault="11E58171" w:rsidP="087D7DB8">
      <w:pPr>
        <w:pStyle w:val="ListParagraph"/>
        <w:numPr>
          <w:ilvl w:val="0"/>
          <w:numId w:val="1"/>
        </w:numPr>
        <w:spacing w:before="0" w:after="120" w:line="276" w:lineRule="auto"/>
        <w:ind w:left="714" w:hanging="357"/>
        <w:contextualSpacing w:val="0"/>
        <w:rPr>
          <w:rFonts w:eastAsia="Verdana" w:cs="Verdana"/>
          <w:noProof/>
          <w:sz w:val="22"/>
          <w:szCs w:val="22"/>
        </w:rPr>
      </w:pPr>
      <w:hyperlink r:id="rId47">
        <w:r w:rsidRPr="087D7DB8">
          <w:rPr>
            <w:rStyle w:val="Hyperlink"/>
            <w:rFonts w:eastAsia="Verdana" w:cs="Verdana"/>
            <w:noProof/>
            <w:color w:val="467886"/>
            <w:sz w:val="22"/>
            <w:szCs w:val="22"/>
          </w:rPr>
          <w:t>sparqs Resource Library</w:t>
        </w:r>
      </w:hyperlink>
      <w:r w:rsidRPr="087D7DB8">
        <w:rPr>
          <w:rFonts w:eastAsia="Verdana" w:cs="Verdana"/>
          <w:noProof/>
          <w:sz w:val="22"/>
          <w:szCs w:val="22"/>
        </w:rPr>
        <w:t xml:space="preserve"> sparqs (2026) (accessed Feb 2026)</w:t>
      </w:r>
      <w:r w:rsidR="73CA1474" w:rsidRPr="087D7DB8">
        <w:rPr>
          <w:rFonts w:eastAsia="Verdana" w:cs="Verdana"/>
          <w:noProof/>
          <w:sz w:val="22"/>
          <w:szCs w:val="22"/>
        </w:rPr>
        <w:t>.</w:t>
      </w:r>
    </w:p>
    <w:p w14:paraId="050E112C" w14:textId="34919F7F" w:rsidR="001F496F" w:rsidRPr="001F496F" w:rsidRDefault="11E58171" w:rsidP="087D7DB8">
      <w:pPr>
        <w:pStyle w:val="ListParagraph"/>
        <w:numPr>
          <w:ilvl w:val="0"/>
          <w:numId w:val="1"/>
        </w:numPr>
        <w:spacing w:before="0" w:after="120" w:line="276" w:lineRule="auto"/>
        <w:contextualSpacing w:val="0"/>
        <w:rPr>
          <w:rFonts w:eastAsia="Verdana" w:cs="Verdana"/>
          <w:noProof/>
          <w:sz w:val="22"/>
          <w:szCs w:val="22"/>
        </w:rPr>
      </w:pPr>
      <w:hyperlink r:id="rId48">
        <w:r w:rsidRPr="087D7DB8">
          <w:rPr>
            <w:rStyle w:val="Hyperlink"/>
            <w:rFonts w:eastAsia="Verdana" w:cs="Verdana"/>
            <w:noProof/>
            <w:color w:val="467886"/>
            <w:sz w:val="22"/>
            <w:szCs w:val="22"/>
          </w:rPr>
          <w:t xml:space="preserve">Students as partners and change agents </w:t>
        </w:r>
      </w:hyperlink>
      <w:r w:rsidRPr="087D7DB8">
        <w:rPr>
          <w:rFonts w:eastAsia="Verdana" w:cs="Verdana"/>
          <w:noProof/>
          <w:sz w:val="22"/>
          <w:szCs w:val="22"/>
        </w:rPr>
        <w:t>: Selected bibliography, handout and guide. Healey, M. (2026)  (accessed Feb 2026)</w:t>
      </w:r>
      <w:r w:rsidR="1961A169" w:rsidRPr="087D7DB8">
        <w:rPr>
          <w:rFonts w:eastAsia="Verdana" w:cs="Verdana"/>
          <w:noProof/>
          <w:sz w:val="22"/>
          <w:szCs w:val="22"/>
        </w:rPr>
        <w:t>.</w:t>
      </w:r>
    </w:p>
    <w:p w14:paraId="4C272651" w14:textId="7CAB48DD" w:rsidR="001F496F" w:rsidRPr="001F496F" w:rsidRDefault="11E58171" w:rsidP="087D7DB8">
      <w:pPr>
        <w:pStyle w:val="ListParagraph"/>
        <w:numPr>
          <w:ilvl w:val="0"/>
          <w:numId w:val="1"/>
        </w:numPr>
        <w:spacing w:before="0" w:after="0" w:line="276" w:lineRule="auto"/>
        <w:contextualSpacing w:val="0"/>
        <w:rPr>
          <w:rFonts w:eastAsia="Verdana" w:cs="Verdana"/>
          <w:noProof/>
          <w:color w:val="467886"/>
          <w:sz w:val="22"/>
          <w:szCs w:val="22"/>
          <w:u w:val="single"/>
        </w:rPr>
      </w:pPr>
      <w:hyperlink r:id="rId49">
        <w:r w:rsidRPr="087D7DB8">
          <w:rPr>
            <w:rStyle w:val="Hyperlink"/>
            <w:rFonts w:eastAsia="Verdana" w:cs="Verdana"/>
            <w:noProof/>
            <w:color w:val="467886"/>
            <w:sz w:val="22"/>
            <w:szCs w:val="22"/>
          </w:rPr>
          <w:t xml:space="preserve">Student Partnerships in Assessment (SPiA) Guide </w:t>
        </w:r>
      </w:hyperlink>
    </w:p>
    <w:p w14:paraId="64309BB5" w14:textId="11C9416F" w:rsidR="001F496F" w:rsidRPr="001F496F" w:rsidRDefault="11E58171" w:rsidP="087D7DB8">
      <w:pPr>
        <w:spacing w:before="0" w:after="120" w:line="276" w:lineRule="auto"/>
        <w:ind w:left="720"/>
        <w:rPr>
          <w:rFonts w:eastAsia="Verdana" w:cs="Verdana"/>
          <w:noProof/>
          <w:sz w:val="22"/>
          <w:szCs w:val="22"/>
        </w:rPr>
      </w:pPr>
      <w:r w:rsidRPr="087D7DB8">
        <w:rPr>
          <w:rFonts w:eastAsia="Verdana" w:cs="Verdana"/>
          <w:noProof/>
          <w:sz w:val="22"/>
          <w:szCs w:val="22"/>
        </w:rPr>
        <w:t>Bovill, C.  Matthews, K. and Hinchcliffe, T. (2021). Advance HE. (accessed Feb 2026)</w:t>
      </w:r>
      <w:r w:rsidR="4F500662" w:rsidRPr="087D7DB8">
        <w:rPr>
          <w:rFonts w:eastAsia="Verdana" w:cs="Verdana"/>
          <w:noProof/>
          <w:sz w:val="22"/>
          <w:szCs w:val="22"/>
        </w:rPr>
        <w:t>.</w:t>
      </w:r>
    </w:p>
    <w:p w14:paraId="2BDF05BC" w14:textId="33EFC2E6" w:rsidR="001F496F" w:rsidRPr="001F496F" w:rsidRDefault="11E58171" w:rsidP="087D7DB8">
      <w:pPr>
        <w:pStyle w:val="ListParagraph"/>
        <w:numPr>
          <w:ilvl w:val="0"/>
          <w:numId w:val="1"/>
        </w:numPr>
        <w:spacing w:before="0" w:after="0" w:line="276" w:lineRule="auto"/>
        <w:contextualSpacing w:val="0"/>
        <w:rPr>
          <w:rFonts w:eastAsia="Verdana" w:cs="Verdana"/>
          <w:noProof/>
          <w:sz w:val="22"/>
          <w:szCs w:val="22"/>
        </w:rPr>
      </w:pPr>
      <w:hyperlink r:id="rId50">
        <w:r w:rsidRPr="087D7DB8">
          <w:rPr>
            <w:rStyle w:val="Hyperlink"/>
            <w:rFonts w:eastAsia="Verdana" w:cs="Verdana"/>
            <w:noProof/>
            <w:color w:val="467886"/>
            <w:sz w:val="22"/>
            <w:szCs w:val="22"/>
          </w:rPr>
          <w:t>STEPUP Principles for Quality Enhancement</w:t>
        </w:r>
      </w:hyperlink>
      <w:r w:rsidRPr="087D7DB8">
        <w:rPr>
          <w:rFonts w:eastAsia="Verdana" w:cs="Verdana"/>
          <w:noProof/>
          <w:sz w:val="22"/>
          <w:szCs w:val="22"/>
        </w:rPr>
        <w:t xml:space="preserve"> </w:t>
      </w:r>
    </w:p>
    <w:p w14:paraId="218504C0" w14:textId="0CE1A82E" w:rsidR="001F496F" w:rsidRPr="001F496F" w:rsidRDefault="11E58171" w:rsidP="087D7DB8">
      <w:pPr>
        <w:spacing w:before="0" w:after="0" w:line="276" w:lineRule="auto"/>
        <w:ind w:left="720"/>
        <w:rPr>
          <w:rFonts w:eastAsia="Verdana" w:cs="Verdana"/>
          <w:noProof/>
          <w:sz w:val="22"/>
          <w:szCs w:val="22"/>
        </w:rPr>
      </w:pPr>
      <w:r w:rsidRPr="087D7DB8">
        <w:rPr>
          <w:rFonts w:eastAsia="Verdana" w:cs="Verdana"/>
          <w:noProof/>
          <w:sz w:val="22"/>
          <w:szCs w:val="22"/>
        </w:rPr>
        <w:t>Varnham, S (2017).  Student Voice Australia. (accessed Feb 2026)</w:t>
      </w:r>
      <w:r w:rsidR="13C6B242" w:rsidRPr="087D7DB8">
        <w:rPr>
          <w:rFonts w:eastAsia="Verdana" w:cs="Verdana"/>
          <w:noProof/>
          <w:sz w:val="22"/>
          <w:szCs w:val="22"/>
        </w:rPr>
        <w:t>.</w:t>
      </w:r>
    </w:p>
    <w:sectPr w:rsidR="001F496F" w:rsidRPr="001F496F" w:rsidSect="0023226C">
      <w:headerReference w:type="default" r:id="rId51"/>
      <w:headerReference w:type="first" r:id="rId52"/>
      <w:footerReference w:type="first" r:id="rId53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A78F" w14:textId="77777777" w:rsidR="008D0EE1" w:rsidRDefault="008D0EE1" w:rsidP="002D47E9">
      <w:pPr>
        <w:spacing w:after="0" w:line="240" w:lineRule="auto"/>
      </w:pPr>
      <w:r>
        <w:separator/>
      </w:r>
    </w:p>
  </w:endnote>
  <w:endnote w:type="continuationSeparator" w:id="0">
    <w:p w14:paraId="0564A3AA" w14:textId="77777777" w:rsidR="008D0EE1" w:rsidRDefault="008D0EE1" w:rsidP="002D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F351" w14:textId="77777777" w:rsidR="004175D6" w:rsidRDefault="00417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1EAD" w14:textId="0F209E63" w:rsidR="00EB2260" w:rsidRDefault="00EB2260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168EF37" wp14:editId="414E4ADF">
          <wp:simplePos x="0" y="0"/>
          <wp:positionH relativeFrom="column">
            <wp:posOffset>-914400</wp:posOffset>
          </wp:positionH>
          <wp:positionV relativeFrom="paragraph">
            <wp:posOffset>-69850</wp:posOffset>
          </wp:positionV>
          <wp:extent cx="7550150" cy="50800"/>
          <wp:effectExtent l="0" t="0" r="0" b="6350"/>
          <wp:wrapNone/>
          <wp:docPr id="1902916818" name="Picture 19029168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16818" name="Picture 19029168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AA58" w14:textId="0BBFE31D" w:rsidR="00EB2260" w:rsidRDefault="00EB2260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B788DA6" wp14:editId="7C99872C">
          <wp:simplePos x="0" y="0"/>
          <wp:positionH relativeFrom="column">
            <wp:posOffset>-914400</wp:posOffset>
          </wp:positionH>
          <wp:positionV relativeFrom="paragraph">
            <wp:posOffset>-114300</wp:posOffset>
          </wp:positionV>
          <wp:extent cx="7550150" cy="50800"/>
          <wp:effectExtent l="0" t="0" r="0" b="6350"/>
          <wp:wrapNone/>
          <wp:docPr id="283332416" name="Picture 2833324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32416" name="Picture 283332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2F48" w14:textId="7926C16F" w:rsidR="0023226C" w:rsidRPr="0023226C" w:rsidRDefault="00061B80" w:rsidP="000419F7">
    <w:pPr>
      <w:pStyle w:val="Footer"/>
      <w:spacing w:before="0"/>
      <w:rPr>
        <w:bCs/>
        <w:color w:val="002060"/>
        <w:sz w:val="18"/>
        <w:szCs w:val="18"/>
      </w:rPr>
    </w:pPr>
    <w:r w:rsidRPr="000419F7">
      <w:rPr>
        <w:noProof/>
        <w:color w:val="002060"/>
        <w:sz w:val="18"/>
        <w:szCs w:val="18"/>
      </w:rPr>
      <w:drawing>
        <wp:anchor distT="0" distB="0" distL="114300" distR="114300" simplePos="0" relativeHeight="251674624" behindDoc="1" locked="0" layoutInCell="1" allowOverlap="1" wp14:anchorId="6B0537FF" wp14:editId="18C414F1">
          <wp:simplePos x="0" y="0"/>
          <wp:positionH relativeFrom="column">
            <wp:posOffset>-866775</wp:posOffset>
          </wp:positionH>
          <wp:positionV relativeFrom="paragraph">
            <wp:posOffset>-255270</wp:posOffset>
          </wp:positionV>
          <wp:extent cx="7486650" cy="50597"/>
          <wp:effectExtent l="0" t="0" r="0" b="6985"/>
          <wp:wrapNone/>
          <wp:docPr id="186256501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6501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1" b="34134"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0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19F7">
      <w:rPr>
        <w:noProof/>
        <w:color w:val="002060"/>
        <w:sz w:val="18"/>
        <w:szCs w:val="18"/>
      </w:rPr>
      <w:drawing>
        <wp:anchor distT="0" distB="0" distL="114300" distR="114300" simplePos="0" relativeHeight="251672576" behindDoc="1" locked="0" layoutInCell="1" allowOverlap="1" wp14:anchorId="424226FA" wp14:editId="5C8A3393">
          <wp:simplePos x="0" y="0"/>
          <wp:positionH relativeFrom="column">
            <wp:posOffset>-866775</wp:posOffset>
          </wp:positionH>
          <wp:positionV relativeFrom="paragraph">
            <wp:posOffset>-346075</wp:posOffset>
          </wp:positionV>
          <wp:extent cx="7439025" cy="50275"/>
          <wp:effectExtent l="0" t="0" r="0" b="6985"/>
          <wp:wrapNone/>
          <wp:docPr id="329229448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229448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1" b="34134"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5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26C" w:rsidRPr="000419F7">
      <w:rPr>
        <w:noProof/>
        <w:color w:val="002060"/>
        <w:sz w:val="18"/>
        <w:szCs w:val="18"/>
      </w:rPr>
      <w:drawing>
        <wp:anchor distT="0" distB="0" distL="114300" distR="114300" simplePos="0" relativeHeight="251673600" behindDoc="0" locked="0" layoutInCell="1" allowOverlap="1" wp14:anchorId="7EDE09AD" wp14:editId="0016EDDB">
          <wp:simplePos x="0" y="0"/>
          <wp:positionH relativeFrom="column">
            <wp:posOffset>4486275</wp:posOffset>
          </wp:positionH>
          <wp:positionV relativeFrom="paragraph">
            <wp:posOffset>-111760</wp:posOffset>
          </wp:positionV>
          <wp:extent cx="1482725" cy="444500"/>
          <wp:effectExtent l="0" t="0" r="3175" b="0"/>
          <wp:wrapNone/>
          <wp:docPr id="870501570" name="Picture 6" descr="Scottish Funding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ttish Funding Counci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26C" w:rsidRPr="0023226C">
      <w:rPr>
        <w:bCs/>
        <w:color w:val="002060"/>
        <w:sz w:val="18"/>
        <w:szCs w:val="18"/>
      </w:rPr>
      <w:t>© 2026 sparqs is a Scottish Charitable Incorporated Organisation</w:t>
    </w:r>
  </w:p>
  <w:p w14:paraId="67CC02C0" w14:textId="2F881F82" w:rsidR="00BB70A2" w:rsidRPr="00061B80" w:rsidRDefault="0023226C" w:rsidP="00061B80">
    <w:pPr>
      <w:pStyle w:val="Footer"/>
      <w:spacing w:before="0"/>
      <w:rPr>
        <w:bCs/>
        <w:color w:val="002060"/>
        <w:sz w:val="18"/>
        <w:szCs w:val="18"/>
      </w:rPr>
    </w:pPr>
    <w:r w:rsidRPr="0023226C">
      <w:rPr>
        <w:bCs/>
        <w:color w:val="002060"/>
        <w:sz w:val="18"/>
        <w:szCs w:val="18"/>
      </w:rPr>
      <w:t xml:space="preserve">funded by the Scottish Funding Council. Registration number SC046172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98E8" w14:textId="77777777" w:rsidR="008D0EE1" w:rsidRDefault="008D0EE1" w:rsidP="002D47E9">
      <w:pPr>
        <w:spacing w:after="0" w:line="240" w:lineRule="auto"/>
      </w:pPr>
      <w:r>
        <w:separator/>
      </w:r>
    </w:p>
  </w:footnote>
  <w:footnote w:type="continuationSeparator" w:id="0">
    <w:p w14:paraId="438F0272" w14:textId="77777777" w:rsidR="008D0EE1" w:rsidRDefault="008D0EE1" w:rsidP="002D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9CCD" w14:textId="77777777" w:rsidR="004175D6" w:rsidRDefault="00417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8B7E" w14:textId="30D1E5C5" w:rsidR="087D7DB8" w:rsidRDefault="087D7DB8" w:rsidP="087D7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6565" w14:textId="77777777" w:rsidR="004175D6" w:rsidRDefault="004175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7D7DB8" w14:paraId="1997D500" w14:textId="77777777" w:rsidTr="087D7DB8">
      <w:trPr>
        <w:trHeight w:val="300"/>
      </w:trPr>
      <w:tc>
        <w:tcPr>
          <w:tcW w:w="3005" w:type="dxa"/>
        </w:tcPr>
        <w:p w14:paraId="2B8B8559" w14:textId="35F09628" w:rsidR="087D7DB8" w:rsidRDefault="087D7DB8" w:rsidP="087D7DB8">
          <w:pPr>
            <w:pStyle w:val="Header"/>
            <w:ind w:left="-115"/>
          </w:pPr>
        </w:p>
      </w:tc>
      <w:tc>
        <w:tcPr>
          <w:tcW w:w="3005" w:type="dxa"/>
        </w:tcPr>
        <w:p w14:paraId="06B99916" w14:textId="6877DBAA" w:rsidR="087D7DB8" w:rsidRDefault="087D7DB8" w:rsidP="087D7DB8">
          <w:pPr>
            <w:pStyle w:val="Header"/>
            <w:jc w:val="center"/>
          </w:pPr>
        </w:p>
      </w:tc>
      <w:tc>
        <w:tcPr>
          <w:tcW w:w="3005" w:type="dxa"/>
        </w:tcPr>
        <w:p w14:paraId="3C4983C9" w14:textId="54D8D8AE" w:rsidR="087D7DB8" w:rsidRDefault="087D7DB8" w:rsidP="087D7DB8">
          <w:pPr>
            <w:pStyle w:val="Header"/>
            <w:ind w:right="-115"/>
            <w:jc w:val="right"/>
          </w:pPr>
        </w:p>
      </w:tc>
    </w:tr>
  </w:tbl>
  <w:p w14:paraId="668279A2" w14:textId="587DF8D9" w:rsidR="087D7DB8" w:rsidRDefault="087D7DB8" w:rsidP="087D7D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79D0" w14:textId="7E608BF2" w:rsidR="087D7DB8" w:rsidRDefault="087D7DB8" w:rsidP="087D7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22B"/>
    <w:multiLevelType w:val="hybridMultilevel"/>
    <w:tmpl w:val="A914E06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002F"/>
    <w:multiLevelType w:val="hybridMultilevel"/>
    <w:tmpl w:val="4FCEF0A6"/>
    <w:lvl w:ilvl="0" w:tplc="D5CA4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89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0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2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A5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87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26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C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EF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1546FC"/>
    <w:multiLevelType w:val="hybridMultilevel"/>
    <w:tmpl w:val="0260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A5431"/>
    <w:multiLevelType w:val="hybridMultilevel"/>
    <w:tmpl w:val="821C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8648"/>
    <w:multiLevelType w:val="hybridMultilevel"/>
    <w:tmpl w:val="371ECED6"/>
    <w:lvl w:ilvl="0" w:tplc="938492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341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AA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CF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6F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AF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C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E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F6CB9"/>
    <w:multiLevelType w:val="hybridMultilevel"/>
    <w:tmpl w:val="9A6C8F38"/>
    <w:lvl w:ilvl="0" w:tplc="E796F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E89D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88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A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5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8A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0F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EC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1A1510"/>
    <w:multiLevelType w:val="hybridMultilevel"/>
    <w:tmpl w:val="7686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2F89"/>
    <w:multiLevelType w:val="hybridMultilevel"/>
    <w:tmpl w:val="C20C01F0"/>
    <w:lvl w:ilvl="0" w:tplc="AEE07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63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47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05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87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CD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4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28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0E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0865FD"/>
    <w:multiLevelType w:val="hybridMultilevel"/>
    <w:tmpl w:val="D230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C0E72"/>
    <w:multiLevelType w:val="hybridMultilevel"/>
    <w:tmpl w:val="C18476C8"/>
    <w:lvl w:ilvl="0" w:tplc="331C1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ED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89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CA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48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67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CE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43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4A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1110ED"/>
    <w:multiLevelType w:val="hybridMultilevel"/>
    <w:tmpl w:val="FD7E923E"/>
    <w:lvl w:ilvl="0" w:tplc="D2FE0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60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0E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C7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83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0D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2F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29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C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F4CDC8"/>
    <w:multiLevelType w:val="hybridMultilevel"/>
    <w:tmpl w:val="A8F08A6C"/>
    <w:lvl w:ilvl="0" w:tplc="D10085A8">
      <w:start w:val="1"/>
      <w:numFmt w:val="decimal"/>
      <w:lvlText w:val="•"/>
      <w:lvlJc w:val="left"/>
      <w:pPr>
        <w:ind w:left="720" w:hanging="360"/>
      </w:pPr>
    </w:lvl>
    <w:lvl w:ilvl="1" w:tplc="095C6C02">
      <w:start w:val="1"/>
      <w:numFmt w:val="lowerLetter"/>
      <w:lvlText w:val="%2."/>
      <w:lvlJc w:val="left"/>
      <w:pPr>
        <w:ind w:left="1440" w:hanging="360"/>
      </w:pPr>
    </w:lvl>
    <w:lvl w:ilvl="2" w:tplc="F5CE71AA">
      <w:start w:val="1"/>
      <w:numFmt w:val="lowerRoman"/>
      <w:lvlText w:val="%3."/>
      <w:lvlJc w:val="right"/>
      <w:pPr>
        <w:ind w:left="2160" w:hanging="180"/>
      </w:pPr>
    </w:lvl>
    <w:lvl w:ilvl="3" w:tplc="241006A4">
      <w:start w:val="1"/>
      <w:numFmt w:val="decimal"/>
      <w:lvlText w:val="%4."/>
      <w:lvlJc w:val="left"/>
      <w:pPr>
        <w:ind w:left="2880" w:hanging="360"/>
      </w:pPr>
    </w:lvl>
    <w:lvl w:ilvl="4" w:tplc="1F182AEC">
      <w:start w:val="1"/>
      <w:numFmt w:val="lowerLetter"/>
      <w:lvlText w:val="%5."/>
      <w:lvlJc w:val="left"/>
      <w:pPr>
        <w:ind w:left="3600" w:hanging="360"/>
      </w:pPr>
    </w:lvl>
    <w:lvl w:ilvl="5" w:tplc="F4A854B8">
      <w:start w:val="1"/>
      <w:numFmt w:val="lowerRoman"/>
      <w:lvlText w:val="%6."/>
      <w:lvlJc w:val="right"/>
      <w:pPr>
        <w:ind w:left="4320" w:hanging="180"/>
      </w:pPr>
    </w:lvl>
    <w:lvl w:ilvl="6" w:tplc="A84E4A60">
      <w:start w:val="1"/>
      <w:numFmt w:val="decimal"/>
      <w:lvlText w:val="%7."/>
      <w:lvlJc w:val="left"/>
      <w:pPr>
        <w:ind w:left="5040" w:hanging="360"/>
      </w:pPr>
    </w:lvl>
    <w:lvl w:ilvl="7" w:tplc="B4EC64E0">
      <w:start w:val="1"/>
      <w:numFmt w:val="lowerLetter"/>
      <w:lvlText w:val="%8."/>
      <w:lvlJc w:val="left"/>
      <w:pPr>
        <w:ind w:left="5760" w:hanging="360"/>
      </w:pPr>
    </w:lvl>
    <w:lvl w:ilvl="8" w:tplc="77BCF9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2DA"/>
    <w:multiLevelType w:val="hybridMultilevel"/>
    <w:tmpl w:val="D11C98C6"/>
    <w:lvl w:ilvl="0" w:tplc="69101F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F002B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1E47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70C2D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BCDD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38626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84F3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28820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1AE8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042092042">
    <w:abstractNumId w:val="4"/>
  </w:num>
  <w:num w:numId="2" w16cid:durableId="474756312">
    <w:abstractNumId w:val="11"/>
  </w:num>
  <w:num w:numId="3" w16cid:durableId="164251346">
    <w:abstractNumId w:val="12"/>
  </w:num>
  <w:num w:numId="4" w16cid:durableId="1781728030">
    <w:abstractNumId w:val="7"/>
  </w:num>
  <w:num w:numId="5" w16cid:durableId="1942645441">
    <w:abstractNumId w:val="10"/>
  </w:num>
  <w:num w:numId="6" w16cid:durableId="940338113">
    <w:abstractNumId w:val="5"/>
  </w:num>
  <w:num w:numId="7" w16cid:durableId="664632824">
    <w:abstractNumId w:val="6"/>
  </w:num>
  <w:num w:numId="8" w16cid:durableId="310134370">
    <w:abstractNumId w:val="8"/>
  </w:num>
  <w:num w:numId="9" w16cid:durableId="1730806771">
    <w:abstractNumId w:val="3"/>
  </w:num>
  <w:num w:numId="10" w16cid:durableId="464275054">
    <w:abstractNumId w:val="9"/>
  </w:num>
  <w:num w:numId="11" w16cid:durableId="1395857473">
    <w:abstractNumId w:val="1"/>
  </w:num>
  <w:num w:numId="12" w16cid:durableId="671838288">
    <w:abstractNumId w:val="0"/>
  </w:num>
  <w:num w:numId="13" w16cid:durableId="18980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82"/>
    <w:rsid w:val="00012D73"/>
    <w:rsid w:val="00033A30"/>
    <w:rsid w:val="00033DC9"/>
    <w:rsid w:val="000419F7"/>
    <w:rsid w:val="00053542"/>
    <w:rsid w:val="00061B80"/>
    <w:rsid w:val="0006448A"/>
    <w:rsid w:val="000741F5"/>
    <w:rsid w:val="00087642"/>
    <w:rsid w:val="000A5CF0"/>
    <w:rsid w:val="000A7FF8"/>
    <w:rsid w:val="000C707B"/>
    <w:rsid w:val="000D126F"/>
    <w:rsid w:val="0010212E"/>
    <w:rsid w:val="001064EC"/>
    <w:rsid w:val="0010751E"/>
    <w:rsid w:val="0011525C"/>
    <w:rsid w:val="0011685F"/>
    <w:rsid w:val="00133C93"/>
    <w:rsid w:val="00147C51"/>
    <w:rsid w:val="001534F1"/>
    <w:rsid w:val="00154AF4"/>
    <w:rsid w:val="00167721"/>
    <w:rsid w:val="00170EDC"/>
    <w:rsid w:val="001A5B86"/>
    <w:rsid w:val="001D7B0B"/>
    <w:rsid w:val="001E18BB"/>
    <w:rsid w:val="001F433D"/>
    <w:rsid w:val="001F496F"/>
    <w:rsid w:val="00204114"/>
    <w:rsid w:val="00223298"/>
    <w:rsid w:val="00226BDB"/>
    <w:rsid w:val="0023226C"/>
    <w:rsid w:val="0023707F"/>
    <w:rsid w:val="00247919"/>
    <w:rsid w:val="002663B9"/>
    <w:rsid w:val="002D47E9"/>
    <w:rsid w:val="002F3B8E"/>
    <w:rsid w:val="002F7B19"/>
    <w:rsid w:val="0033360C"/>
    <w:rsid w:val="00343888"/>
    <w:rsid w:val="003626C9"/>
    <w:rsid w:val="00390E37"/>
    <w:rsid w:val="003D5AE5"/>
    <w:rsid w:val="003F4324"/>
    <w:rsid w:val="00416F52"/>
    <w:rsid w:val="004175D6"/>
    <w:rsid w:val="0042197C"/>
    <w:rsid w:val="00495E5E"/>
    <w:rsid w:val="004C5C44"/>
    <w:rsid w:val="004D1C1E"/>
    <w:rsid w:val="004E33E0"/>
    <w:rsid w:val="004E45B3"/>
    <w:rsid w:val="004E4A05"/>
    <w:rsid w:val="004E5A6D"/>
    <w:rsid w:val="004F2FF3"/>
    <w:rsid w:val="004F7045"/>
    <w:rsid w:val="0053400A"/>
    <w:rsid w:val="00534AC6"/>
    <w:rsid w:val="00543DF3"/>
    <w:rsid w:val="00544515"/>
    <w:rsid w:val="0054458B"/>
    <w:rsid w:val="00557DAA"/>
    <w:rsid w:val="0056189D"/>
    <w:rsid w:val="00563006"/>
    <w:rsid w:val="00566ABB"/>
    <w:rsid w:val="00573490"/>
    <w:rsid w:val="00594AF1"/>
    <w:rsid w:val="005A7F82"/>
    <w:rsid w:val="005E59EA"/>
    <w:rsid w:val="005E7F3B"/>
    <w:rsid w:val="005F7281"/>
    <w:rsid w:val="0060261B"/>
    <w:rsid w:val="0061181F"/>
    <w:rsid w:val="00621907"/>
    <w:rsid w:val="0062576D"/>
    <w:rsid w:val="00654AAE"/>
    <w:rsid w:val="006754D2"/>
    <w:rsid w:val="006829D1"/>
    <w:rsid w:val="006A673D"/>
    <w:rsid w:val="006C237A"/>
    <w:rsid w:val="006D65B5"/>
    <w:rsid w:val="006E29C7"/>
    <w:rsid w:val="006E30E1"/>
    <w:rsid w:val="00710628"/>
    <w:rsid w:val="00744D87"/>
    <w:rsid w:val="00793BE4"/>
    <w:rsid w:val="007A40F4"/>
    <w:rsid w:val="007B01BF"/>
    <w:rsid w:val="007D3004"/>
    <w:rsid w:val="007D3165"/>
    <w:rsid w:val="007E60FE"/>
    <w:rsid w:val="00823768"/>
    <w:rsid w:val="008353C0"/>
    <w:rsid w:val="008578BD"/>
    <w:rsid w:val="00871A9B"/>
    <w:rsid w:val="00890D79"/>
    <w:rsid w:val="008A0B0D"/>
    <w:rsid w:val="008A3AE5"/>
    <w:rsid w:val="008A6B94"/>
    <w:rsid w:val="008D0EE1"/>
    <w:rsid w:val="008D5E47"/>
    <w:rsid w:val="008F0B4E"/>
    <w:rsid w:val="008F25F1"/>
    <w:rsid w:val="00910680"/>
    <w:rsid w:val="00934E26"/>
    <w:rsid w:val="00952940"/>
    <w:rsid w:val="00957F52"/>
    <w:rsid w:val="00976BC9"/>
    <w:rsid w:val="009819FF"/>
    <w:rsid w:val="009A5B64"/>
    <w:rsid w:val="009B1E16"/>
    <w:rsid w:val="009B5BC2"/>
    <w:rsid w:val="009E1D37"/>
    <w:rsid w:val="009E4F78"/>
    <w:rsid w:val="00A116B6"/>
    <w:rsid w:val="00A21B32"/>
    <w:rsid w:val="00A36499"/>
    <w:rsid w:val="00A54A6E"/>
    <w:rsid w:val="00A63386"/>
    <w:rsid w:val="00A66D0F"/>
    <w:rsid w:val="00A8463C"/>
    <w:rsid w:val="00A95409"/>
    <w:rsid w:val="00AA1045"/>
    <w:rsid w:val="00AB2E07"/>
    <w:rsid w:val="00AC0486"/>
    <w:rsid w:val="00AD483B"/>
    <w:rsid w:val="00AF29AB"/>
    <w:rsid w:val="00B02788"/>
    <w:rsid w:val="00B03286"/>
    <w:rsid w:val="00B0717F"/>
    <w:rsid w:val="00B75F42"/>
    <w:rsid w:val="00B860B9"/>
    <w:rsid w:val="00BA1A28"/>
    <w:rsid w:val="00BA6330"/>
    <w:rsid w:val="00BB258A"/>
    <w:rsid w:val="00BB70A2"/>
    <w:rsid w:val="00BD4963"/>
    <w:rsid w:val="00BD526A"/>
    <w:rsid w:val="00BF0AC9"/>
    <w:rsid w:val="00BF280A"/>
    <w:rsid w:val="00C014DF"/>
    <w:rsid w:val="00C06B2D"/>
    <w:rsid w:val="00C13382"/>
    <w:rsid w:val="00C134DB"/>
    <w:rsid w:val="00C17F35"/>
    <w:rsid w:val="00C22745"/>
    <w:rsid w:val="00C22DFE"/>
    <w:rsid w:val="00C27537"/>
    <w:rsid w:val="00C27D63"/>
    <w:rsid w:val="00C30577"/>
    <w:rsid w:val="00C41D8C"/>
    <w:rsid w:val="00C6653B"/>
    <w:rsid w:val="00C7209D"/>
    <w:rsid w:val="00C931D8"/>
    <w:rsid w:val="00CE0124"/>
    <w:rsid w:val="00CE567B"/>
    <w:rsid w:val="00D14A56"/>
    <w:rsid w:val="00D20DA3"/>
    <w:rsid w:val="00D21E11"/>
    <w:rsid w:val="00D22582"/>
    <w:rsid w:val="00D95DBA"/>
    <w:rsid w:val="00DA337E"/>
    <w:rsid w:val="00DA40A5"/>
    <w:rsid w:val="00DC3109"/>
    <w:rsid w:val="00DC5174"/>
    <w:rsid w:val="00DD6744"/>
    <w:rsid w:val="00DD7939"/>
    <w:rsid w:val="00DE421C"/>
    <w:rsid w:val="00E44003"/>
    <w:rsid w:val="00E52D49"/>
    <w:rsid w:val="00E64432"/>
    <w:rsid w:val="00E656F1"/>
    <w:rsid w:val="00E664FE"/>
    <w:rsid w:val="00E81B22"/>
    <w:rsid w:val="00E92B88"/>
    <w:rsid w:val="00EB2260"/>
    <w:rsid w:val="00EB24CD"/>
    <w:rsid w:val="00EC03A5"/>
    <w:rsid w:val="00ED205C"/>
    <w:rsid w:val="00F02297"/>
    <w:rsid w:val="00F17275"/>
    <w:rsid w:val="00F43602"/>
    <w:rsid w:val="00F45225"/>
    <w:rsid w:val="00F635C0"/>
    <w:rsid w:val="00F956FA"/>
    <w:rsid w:val="00FC1CE3"/>
    <w:rsid w:val="00FE628B"/>
    <w:rsid w:val="00FF7A02"/>
    <w:rsid w:val="016A0558"/>
    <w:rsid w:val="03206D66"/>
    <w:rsid w:val="087D7DB8"/>
    <w:rsid w:val="0A02B841"/>
    <w:rsid w:val="0B69FD73"/>
    <w:rsid w:val="0D0FC70E"/>
    <w:rsid w:val="0E6420FD"/>
    <w:rsid w:val="106BC330"/>
    <w:rsid w:val="11E58171"/>
    <w:rsid w:val="13C6B242"/>
    <w:rsid w:val="1961A169"/>
    <w:rsid w:val="19B97DD9"/>
    <w:rsid w:val="1B28BE63"/>
    <w:rsid w:val="20DE35D0"/>
    <w:rsid w:val="2171A80D"/>
    <w:rsid w:val="2BFEA78E"/>
    <w:rsid w:val="3800B2F1"/>
    <w:rsid w:val="386C4073"/>
    <w:rsid w:val="3BC9DF11"/>
    <w:rsid w:val="464E1F8B"/>
    <w:rsid w:val="4E8C53F8"/>
    <w:rsid w:val="4EF12476"/>
    <w:rsid w:val="4F500662"/>
    <w:rsid w:val="54C14264"/>
    <w:rsid w:val="5D20C4A5"/>
    <w:rsid w:val="610B7715"/>
    <w:rsid w:val="61B7D964"/>
    <w:rsid w:val="621B6071"/>
    <w:rsid w:val="624DE41A"/>
    <w:rsid w:val="71CF84E0"/>
    <w:rsid w:val="73CA1474"/>
    <w:rsid w:val="750BA2AA"/>
    <w:rsid w:val="7E58AA36"/>
    <w:rsid w:val="7EFB5563"/>
    <w:rsid w:val="7F49A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B439"/>
  <w15:chartTrackingRefBased/>
  <w15:docId w15:val="{001FA035-6E40-4FB0-8D34-CF628E1C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E3"/>
    <w:pPr>
      <w:spacing w:before="120" w:after="24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99"/>
    <w:pPr>
      <w:keepNext/>
      <w:keepLines/>
      <w:spacing w:before="360" w:after="80"/>
      <w:outlineLvl w:val="0"/>
    </w:pPr>
    <w:rPr>
      <w:rFonts w:eastAsiaTheme="majorEastAsia" w:cstheme="majorBidi"/>
      <w:b/>
      <w:color w:val="00206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B88"/>
    <w:pPr>
      <w:keepNext/>
      <w:keepLines/>
      <w:spacing w:before="160" w:after="80"/>
      <w:outlineLvl w:val="1"/>
    </w:pPr>
    <w:rPr>
      <w:rFonts w:eastAsiaTheme="majorEastAsia" w:cstheme="majorBidi"/>
      <w:b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B88"/>
    <w:pPr>
      <w:keepNext/>
      <w:keepLines/>
      <w:spacing w:before="160" w:after="80"/>
      <w:outlineLvl w:val="2"/>
    </w:pPr>
    <w:rPr>
      <w:rFonts w:eastAsiaTheme="majorEastAsia" w:cstheme="majorBidi"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D63"/>
    <w:pPr>
      <w:keepNext/>
      <w:keepLines/>
      <w:spacing w:before="80" w:after="40"/>
      <w:outlineLvl w:val="3"/>
    </w:pPr>
    <w:rPr>
      <w:rFonts w:eastAsiaTheme="majorEastAsia" w:cstheme="majorBidi"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99"/>
    <w:rPr>
      <w:rFonts w:ascii="Verdana" w:eastAsiaTheme="majorEastAsia" w:hAnsi="Verdana" w:cstheme="majorBidi"/>
      <w:b/>
      <w:color w:val="00206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2B88"/>
    <w:rPr>
      <w:rFonts w:ascii="Verdana" w:eastAsiaTheme="majorEastAsia" w:hAnsi="Verdana" w:cstheme="majorBidi"/>
      <w:b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2B88"/>
    <w:rPr>
      <w:rFonts w:ascii="Verdana" w:eastAsiaTheme="majorEastAsia" w:hAnsi="Verdana" w:cstheme="majorBidi"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27D63"/>
    <w:rPr>
      <w:rFonts w:ascii="Verdana" w:eastAsiaTheme="majorEastAsia" w:hAnsi="Verdana" w:cstheme="majorBidi"/>
      <w:iCs/>
      <w:color w:val="00206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5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5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91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4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7E9"/>
  </w:style>
  <w:style w:type="paragraph" w:styleId="Footer">
    <w:name w:val="footer"/>
    <w:basedOn w:val="Normal"/>
    <w:link w:val="FooterChar"/>
    <w:uiPriority w:val="99"/>
    <w:unhideWhenUsed/>
    <w:rsid w:val="002D4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7E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vance-he.ac.uk/knowledge-hub/essential-frameworks-enhancing-student-success-student-engagement-through-partnership" TargetMode="External"/><Relationship Id="rId18" Type="http://schemas.openxmlformats.org/officeDocument/2006/relationships/hyperlink" Target="https://doi.org/10.56433/jpaap.v12i2.605" TargetMode="External"/><Relationship Id="rId26" Type="http://schemas.openxmlformats.org/officeDocument/2006/relationships/hyperlink" Target="https://sehej.raise-network.com/raise/article/view/380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advance-he.ac.uk/knowledge-hub/engagement-through-partnership-students-partners-learning-and-teaching-higher" TargetMode="External"/><Relationship Id="rId34" Type="http://schemas.openxmlformats.org/officeDocument/2006/relationships/hyperlink" Target="https://doi.org/10.15173/ijsap.v5i1.4452" TargetMode="External"/><Relationship Id="rId42" Type="http://schemas.openxmlformats.org/officeDocument/2006/relationships/hyperlink" Target="https://advance-he.ac.uk/knowledge-hub/student-engagement-through-partnership-literature-review" TargetMode="External"/><Relationship Id="rId47" Type="http://schemas.openxmlformats.org/officeDocument/2006/relationships/hyperlink" Target="https://www.sparqs.ac.uk/resources.php" TargetMode="External"/><Relationship Id="rId50" Type="http://schemas.openxmlformats.org/officeDocument/2006/relationships/hyperlink" Target="https://studentvoiceaustralasia.com/reports-publications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prints.gla.ac.uk/57709/1/57709.pdf" TargetMode="External"/><Relationship Id="rId29" Type="http://schemas.openxmlformats.org/officeDocument/2006/relationships/hyperlink" Target="https://www.sparqs.ac.uk/resource-item.php?item=190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hester.ac.uk/media/media/documents/guides/PTSK0002046-Students-as-Partners-Guidance-Booklet-2025_WEB.pdf" TargetMode="External"/><Relationship Id="rId32" Type="http://schemas.openxmlformats.org/officeDocument/2006/relationships/hyperlink" Target="https://studentvoiceaustralasia.com/reports-publications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45" Type="http://schemas.openxmlformats.org/officeDocument/2006/relationships/hyperlink" Target="https://advance-he.ac.uk/knowledge-hub/framework-student-engagement-through-partnership-0" TargetMode="External"/><Relationship Id="rId53" Type="http://schemas.openxmlformats.org/officeDocument/2006/relationships/footer" Target="footer4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centerforengagedlearning.org/resources/students-as-partners/" TargetMode="External"/><Relationship Id="rId31" Type="http://schemas.openxmlformats.org/officeDocument/2006/relationships/hyperlink" Target="https://www.sparqs.ac.uk/resource-item.php?item=300" TargetMode="External"/><Relationship Id="rId44" Type="http://schemas.openxmlformats.org/officeDocument/2006/relationships/hyperlink" Target="https://info.lse.ac.uk/staff/divisions/Eden-Centre/Assets-EC/Documents/Student-Partnership-Literature-Review.pdf" TargetMode="External"/><Relationship Id="rId52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6433/jpaap.v11i3.597" TargetMode="External"/><Relationship Id="rId22" Type="http://schemas.openxmlformats.org/officeDocument/2006/relationships/hyperlink" Target="https://advance-he.ac.uk/knowledge-hub/engagement-through-partnership-students-partners-learning-and-teaching-higher" TargetMode="External"/><Relationship Id="rId27" Type="http://schemas.openxmlformats.org/officeDocument/2006/relationships/hyperlink" Target="https://advance-he.ac.uk/knowledge-hub/student-engagement-through-partnership-literature-review" TargetMode="External"/><Relationship Id="rId30" Type="http://schemas.openxmlformats.org/officeDocument/2006/relationships/hyperlink" Target="https://www.sparqs.ac.uk/sector.php?page=1116" TargetMode="External"/><Relationship Id="rId35" Type="http://schemas.openxmlformats.org/officeDocument/2006/relationships/header" Target="header1.xml"/><Relationship Id="rId43" Type="http://schemas.openxmlformats.org/officeDocument/2006/relationships/hyperlink" Target="https://advance-he.ac.uk/knowledge-hub/student-engagement-through-partnership-literature-review" TargetMode="External"/><Relationship Id="rId48" Type="http://schemas.openxmlformats.org/officeDocument/2006/relationships/hyperlink" Target="https://www.healeyheconsultants.co.uk/resources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hyperlink" Target="https://advance-he.ac.uk/knowledge-hub/framework-student-engagement-through-partnership-0" TargetMode="External"/><Relationship Id="rId17" Type="http://schemas.openxmlformats.org/officeDocument/2006/relationships/hyperlink" Target="https://doi.org/10.1007/s10734-015-9896-4" TargetMode="External"/><Relationship Id="rId25" Type="http://schemas.openxmlformats.org/officeDocument/2006/relationships/hyperlink" Target="https://doi.org/10.15173/ijsap.v1i1.3119" TargetMode="External"/><Relationship Id="rId33" Type="http://schemas.openxmlformats.org/officeDocument/2006/relationships/hyperlink" Target="https://studentvoiceaustralasia.com/reports-publications" TargetMode="External"/><Relationship Id="rId38" Type="http://schemas.openxmlformats.org/officeDocument/2006/relationships/footer" Target="footer2.xml"/><Relationship Id="rId46" Type="http://schemas.openxmlformats.org/officeDocument/2006/relationships/hyperlink" Target="https://advance-he.ac.uk/knowledge-hub/framework-student-engagement-through-partnership-0" TargetMode="External"/><Relationship Id="rId20" Type="http://schemas.openxmlformats.org/officeDocument/2006/relationships/hyperlink" Target="http://www.healeyheconsultants.co.uk/resources" TargetMode="External"/><Relationship Id="rId41" Type="http://schemas.openxmlformats.org/officeDocument/2006/relationships/hyperlink" Target="https://mulpress.mcmaster.ca/ijsap/article/view/311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doi.org/10.15173/ijsap.v3i2.3953" TargetMode="External"/><Relationship Id="rId23" Type="http://schemas.openxmlformats.org/officeDocument/2006/relationships/hyperlink" Target="https://www.chester.ac.uk/media/media/documents/guides/PTSK0002046-Students-as-Partners-Guidance-Booklet-2025_WEB.pdf" TargetMode="External"/><Relationship Id="rId28" Type="http://schemas.openxmlformats.org/officeDocument/2006/relationships/hyperlink" Target="https://www.sfc.ac.uk/assurance-accountability/learning-quality/scotlands-tertiary-quality-enhancement-framework/" TargetMode="External"/><Relationship Id="rId36" Type="http://schemas.openxmlformats.org/officeDocument/2006/relationships/header" Target="header2.xml"/><Relationship Id="rId49" Type="http://schemas.openxmlformats.org/officeDocument/2006/relationships/hyperlink" Target="https://www.advance-he.ac.uk/knowledge-hub/student-partnerships-assessment-spia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7553C-9641-4B82-9308-AA646BEFB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2DC7B-BA3E-4C7D-8715-CFF009FD2E4D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customXml/itemProps3.xml><?xml version="1.0" encoding="utf-8"?>
<ds:datastoreItem xmlns:ds="http://schemas.openxmlformats.org/officeDocument/2006/customXml" ds:itemID="{C92D764D-3159-43AF-B592-90EEC3A5B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308AF-B02C-4530-9A01-C11535531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5214</Characters>
  <Application>Microsoft Office Word</Application>
  <DocSecurity>0</DocSecurity>
  <Lines>103</Lines>
  <Paragraphs>41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Bell</dc:creator>
  <cp:keywords/>
  <dc:description/>
  <cp:lastModifiedBy>Ali McDade</cp:lastModifiedBy>
  <cp:revision>172</cp:revision>
  <cp:lastPrinted>2026-04-14T09:31:00Z</cp:lastPrinted>
  <dcterms:created xsi:type="dcterms:W3CDTF">2026-03-01T18:12:00Z</dcterms:created>
  <dcterms:modified xsi:type="dcterms:W3CDTF">2026-04-14T09:31:00Z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